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ind w:left="5103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Додаток 1</w:t>
      </w:r>
    </w:p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ind w:left="5103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до Порядку державної реєстрації та обліку науков</w:t>
      </w:r>
      <w:r>
        <w:rPr>
          <w:rFonts w:ascii="Times New Roman" w:hAnsi="Times New Roman"/>
          <w:smallCaps w:val="0"/>
          <w:sz w:val="28"/>
          <w:szCs w:val="22"/>
          <w:cs w:val="0"/>
          <w:spacing w:val="0"/>
          <w:w w:val="100"/>
          <w:position w:val="0"/>
          <w:snapToGrid w:val="1"/>
          <w:lang w:eastAsia="uk-UA"/>
        </w:rPr>
        <w:t>о-дослідних</w:t>
      </w:r>
      <w:r>
        <w:rPr>
          <w:rFonts w:ascii="Times New Roman" w:hAnsi="Times New Roman"/>
          <w:smallCaps w:val="0"/>
          <w:sz w:val="28"/>
          <w:szCs w:val="22"/>
          <w:cs w:val="0"/>
          <w:spacing w:val="0"/>
          <w:w w:val="100"/>
          <w:position w:val="0"/>
          <w:snapToGrid w:val="1"/>
          <w:lang w:eastAsia="uk-UA"/>
        </w:rPr>
        <w:t>, дослідно-конструкторських</w:t>
      </w:r>
      <w:r>
        <w:rPr>
          <w:rFonts w:ascii="Times New Roman" w:hAnsi="Times New Roman"/>
          <w:sz w:val="28"/>
          <w:szCs w:val="28"/>
          <w:lang w:eastAsia="uk-UA"/>
        </w:rPr>
        <w:t xml:space="preserve"> робіт </w:t>
      </w:r>
      <w:r>
        <w:rPr>
          <w:rFonts w:ascii="Times New Roman" w:hAnsi="Times New Roman"/>
          <w:smallCaps w:val="0"/>
          <w:sz w:val="28"/>
          <w:szCs w:val="22"/>
          <w:cs w:val="0"/>
          <w:spacing w:val="0"/>
          <w:w w:val="100"/>
          <w:position w:val="0"/>
          <w:snapToGrid w:val="1"/>
          <w:lang w:eastAsia="uk-UA"/>
        </w:rPr>
        <w:t>і</w:t>
      </w:r>
      <w:r>
        <w:rPr>
          <w:rFonts w:ascii="Times New Roman" w:hAnsi="Times New Roman"/>
          <w:sz w:val="28"/>
          <w:szCs w:val="28"/>
          <w:lang w:eastAsia="uk-UA"/>
        </w:rPr>
        <w:t xml:space="preserve"> дисертацій</w:t>
      </w:r>
    </w:p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jc w:val="both"/>
        <w:rPr>
          <w:rFonts w:ascii="Times New Roman" w:hAnsi="Times New Roman"/>
          <w:smallCaps w:val="0"/>
          <w:color w:val="000000"/>
          <w:sz w:val="28"/>
          <w:szCs w:val="22"/>
          <w:cs w:val="0"/>
          <w:spacing w:val="0"/>
          <w:w w:val="100"/>
          <w:position w:val="0"/>
          <w:snapToGrid w:val="1"/>
          <w:lang w:eastAsia="uk-UA"/>
        </w:rPr>
      </w:pPr>
      <w:r>
        <w:rPr>
          <w:rFonts w:ascii="Times New Roman" w:hAnsi="Times New Roman"/>
          <w:smallCaps w:val="0"/>
          <w:color w:val="000000"/>
          <w:sz w:val="28"/>
          <w:szCs w:val="22"/>
          <w:cs w:val="0"/>
          <w:spacing w:val="0"/>
          <w:w w:val="100"/>
          <w:position w:val="0"/>
          <w:snapToGrid w:val="1"/>
          <w:lang w:eastAsia="uk-UA"/>
        </w:rPr>
        <w:t xml:space="preserve">                                                                         (пункт 6 розділу І)</w:t>
      </w:r>
    </w:p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ind w:left="709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smallCaps w:val="0"/>
          <w:color w:val="000000"/>
          <w:sz w:val="28"/>
          <w:szCs w:val="22"/>
          <w:cs w:val="0"/>
          <w:spacing w:val="0"/>
          <w:w w:val="100"/>
          <w:position w:val="0"/>
          <w:snapToGrid w:val="1"/>
          <w:lang w:eastAsia="uk-UA"/>
        </w:rPr>
        <w:t xml:space="preserve"> </w:t>
      </w:r>
    </w:p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jc w:val="center"/>
        <w:rPr>
          <w:rFonts w:ascii="Times New Roman" w:hAnsi="Times New Roman"/>
          <w:b w:val="1"/>
          <w:caps w:val="0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 w:val="1"/>
          <w:color w:val="000000"/>
          <w:sz w:val="28"/>
          <w:szCs w:val="28"/>
          <w:lang w:eastAsia="uk-UA"/>
        </w:rPr>
        <w:t xml:space="preserve">РЕЄСТРАЦІЙНА КАРТКА </w:t>
      </w:r>
      <w:r>
        <w:rPr>
          <w:rFonts w:ascii="Times New Roman" w:hAnsi="Times New Roman"/>
          <w:b w:val="1"/>
          <w:caps w:val="0"/>
          <w:color w:val="000000"/>
          <w:sz w:val="28"/>
          <w:szCs w:val="28"/>
          <w:lang w:eastAsia="uk-UA"/>
        </w:rPr>
        <w:t>НАУКОВ</w:t>
      </w:r>
      <w:r>
        <w:rPr>
          <w:rFonts w:ascii="Times New Roman" w:hAnsi="Times New Roman"/>
          <w:b w:val="1"/>
          <w:caps w:val="0"/>
          <w:smallCaps w:val="0"/>
          <w:color w:val="000000"/>
          <w:sz w:val="28"/>
          <w:szCs w:val="22"/>
          <w:cs w:val="0"/>
          <w:spacing w:val="0"/>
          <w:w w:val="100"/>
          <w:position w:val="0"/>
          <w:snapToGrid w:val="1"/>
          <w:lang w:eastAsia="uk-UA"/>
        </w:rPr>
        <w:t>О</w:t>
      </w:r>
      <w:r>
        <w:rPr>
          <w:rFonts w:ascii="Times New Roman" w:hAnsi="Times New Roman"/>
          <w:b w:val="1"/>
          <w:caps w:val="0"/>
          <w:smallCaps w:val="0"/>
          <w:color w:val="000000"/>
          <w:sz w:val="28"/>
          <w:szCs w:val="22"/>
          <w:cs w:val="0"/>
          <w:spacing w:val="0"/>
          <w:w w:val="100"/>
          <w:position w:val="0"/>
          <w:snapToGrid w:val="1"/>
          <w:lang w:eastAsia="uk-UA"/>
        </w:rPr>
        <w:t>-</w:t>
      </w:r>
      <w:r>
        <w:rPr>
          <w:rFonts w:ascii="Times New Roman" w:hAnsi="Times New Roman"/>
          <w:b w:val="1"/>
          <w:caps w:val="0"/>
          <w:smallCaps w:val="0"/>
          <w:color w:val="000000"/>
          <w:sz w:val="28"/>
          <w:szCs w:val="22"/>
          <w:cs w:val="0"/>
          <w:spacing w:val="0"/>
          <w:w w:val="100"/>
          <w:position w:val="0"/>
          <w:snapToGrid w:val="1"/>
          <w:lang w:eastAsia="uk-UA"/>
        </w:rPr>
        <w:t>ДОСЛІДНИХ</w:t>
      </w:r>
      <w:r>
        <w:rPr>
          <w:rFonts w:ascii="Times New Roman" w:hAnsi="Times New Roman"/>
          <w:b w:val="1"/>
          <w:caps w:val="0"/>
          <w:smallCaps w:val="0"/>
          <w:color w:val="000000"/>
          <w:sz w:val="28"/>
          <w:szCs w:val="22"/>
          <w:cs w:val="0"/>
          <w:spacing w:val="0"/>
          <w:w w:val="100"/>
          <w:position w:val="0"/>
          <w:snapToGrid w:val="1"/>
          <w:lang w:eastAsia="uk-UA"/>
        </w:rPr>
        <w:t>, ДОСЛІДНО-КОНСТРУКТОРСЬКИХ</w:t>
      </w:r>
      <w:r>
        <w:rPr>
          <w:rFonts w:ascii="Times New Roman" w:hAnsi="Times New Roman"/>
          <w:b w:val="1"/>
          <w:caps w:val="0"/>
          <w:color w:val="000000"/>
          <w:sz w:val="28"/>
          <w:szCs w:val="28"/>
          <w:lang w:eastAsia="uk-UA"/>
        </w:rPr>
        <w:t xml:space="preserve"> РОБІТ (РК ДІР)</w:t>
      </w:r>
    </w:p>
    <w:tbl>
      <w:tblPr>
        <w:tblStyle w:val="T2"/>
        <w:tblW w:w="0" w:type="auto"/>
        <w:tblLook w:val="04A0"/>
      </w:tblPr>
      <w:tblGrid/>
      <w:tr>
        <w:trPr>
          <w:trHeight w:hRule="atLeast" w:val="339"/>
        </w:trPr>
        <w:tc>
          <w:tcPr>
            <w:tcW w:w="7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24" w:space="0" w:shadow="0" w:frame="0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58"/>
        </w:trPr>
        <w:tc>
          <w:tcPr>
            <w:tcW w:w="7276" w:type="dxa"/>
            <w:gridSpan w:val="2"/>
            <w:tcBorders>
              <w:top w:val="single" w:sz="4" w:space="0" w:shadow="0" w:frame="0"/>
              <w:right w:val="single" w:sz="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  <w:t>ЗАГАЛЬНІ ВІДОМОСТІ</w:t>
            </w:r>
          </w:p>
        </w:tc>
        <w:tc>
          <w:tcPr>
            <w:tcW w:w="677" w:type="dxa"/>
            <w:tcBorders>
              <w:top w:val="nil"/>
              <w:left w:val="single" w:sz="4" w:space="0" w:shadow="0" w:frame="0"/>
              <w:bottom w:val="nil"/>
              <w:right w:val="single" w:sz="24" w:space="0" w:shadow="0" w:frame="0"/>
            </w:tcBorders>
          </w:tcPr>
          <w:p>
            <w:pPr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686" w:type="dxa"/>
            <w:vMerge w:val="restart"/>
            <w:tcBorders>
              <w:top w:val="single" w:sz="24" w:space="0" w:shadow="0" w:frame="0"/>
              <w:left w:val="single" w:sz="24" w:space="0" w:shadow="0" w:frame="0"/>
              <w:right w:val="single" w:sz="24" w:space="0" w:shadow="0" w:frame="0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  <w:szCs w:val="24"/>
                <w:lang w:val="en-US" w:eastAsia="uk-UA"/>
              </w:rPr>
              <w:t>QR</w:t>
            </w:r>
            <w:r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  <w:t>-код</w:t>
            </w:r>
          </w:p>
        </w:tc>
      </w:tr>
      <w:tr>
        <w:trPr>
          <w:trHeight w:hRule="atLeast" w:val="345"/>
        </w:trPr>
        <w:tc>
          <w:tcPr>
            <w:tcW w:w="7276" w:type="dxa"/>
            <w:gridSpan w:val="2"/>
            <w:tcBorders>
              <w:right w:val="single" w:sz="4" w:space="0" w:shadow="0" w:frame="0"/>
            </w:tcBorders>
          </w:tcPr>
          <w:p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  <w:t>Державний реєстраційний номер:</w:t>
            </w:r>
          </w:p>
        </w:tc>
        <w:tc>
          <w:tcPr>
            <w:tcW w:w="677" w:type="dxa"/>
            <w:tcBorders>
              <w:top w:val="nil"/>
              <w:left w:val="single" w:sz="4" w:space="0" w:shadow="0" w:frame="0"/>
              <w:bottom w:val="nil"/>
              <w:right w:val="single" w:sz="2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686" w:type="dxa"/>
            <w:vMerge w:val="continue"/>
            <w:tcBorders>
              <w:left w:val="single" w:sz="24" w:space="0" w:shadow="0" w:frame="0"/>
              <w:right w:val="single" w:sz="24" w:space="0" w:shadow="0" w:frame="0"/>
            </w:tcBorders>
          </w:tcPr>
          <w:p>
            <w:pPr>
              <w:widowControl w:val="0"/>
              <w:jc w:val="center"/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45"/>
        </w:trPr>
        <w:tc>
          <w:tcPr>
            <w:tcW w:w="7276" w:type="dxa"/>
            <w:gridSpan w:val="2"/>
            <w:tcBorders>
              <w:right w:val="single" w:sz="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  <w:t>Особливі позначки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</w:tc>
        <w:tc>
          <w:tcPr>
            <w:tcW w:w="677" w:type="dxa"/>
            <w:tcBorders>
              <w:top w:val="nil"/>
              <w:left w:val="single" w:sz="4" w:space="0" w:shadow="0" w:frame="0"/>
              <w:bottom w:val="nil"/>
              <w:right w:val="single" w:sz="2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686" w:type="dxa"/>
            <w:vMerge w:val="continue"/>
            <w:tcBorders>
              <w:left w:val="single" w:sz="24" w:space="0" w:shadow="0" w:frame="0"/>
              <w:right w:val="single" w:sz="24" w:space="0" w:shadow="0" w:frame="0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45"/>
        </w:trPr>
        <w:tc>
          <w:tcPr>
            <w:tcW w:w="7276" w:type="dxa"/>
            <w:gridSpan w:val="2"/>
            <w:tcBorders>
              <w:bottom w:val="single" w:sz="4" w:space="0" w:shadow="0" w:frame="0"/>
              <w:right w:val="single" w:sz="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  <w:t>Дата реєстрації:</w:t>
            </w:r>
          </w:p>
        </w:tc>
        <w:tc>
          <w:tcPr>
            <w:tcW w:w="677" w:type="dxa"/>
            <w:tcBorders>
              <w:top w:val="nil"/>
              <w:left w:val="single" w:sz="4" w:space="0" w:shadow="0" w:frame="0"/>
              <w:bottom w:val="nil"/>
              <w:right w:val="single" w:sz="2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686" w:type="dxa"/>
            <w:vMerge w:val="continue"/>
            <w:tcBorders>
              <w:left w:val="single" w:sz="24" w:space="0" w:shadow="0" w:frame="0"/>
              <w:bottom w:val="single" w:sz="24" w:space="0" w:shadow="0" w:frame="0"/>
              <w:right w:val="single" w:sz="2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45"/>
        </w:trPr>
        <w:tc>
          <w:tcPr>
            <w:tcW w:w="7276" w:type="dxa"/>
            <w:gridSpan w:val="2"/>
            <w:tcBorders>
              <w:left w:val="nil"/>
              <w:bottom w:val="nil"/>
              <w:right w:val="nil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686" w:type="dxa"/>
            <w:tcBorders>
              <w:top w:val="single" w:sz="24" w:space="0" w:shadow="0" w:frame="0"/>
              <w:left w:val="nil"/>
              <w:bottom w:val="nil"/>
              <w:right w:val="nil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  <w:t>ПІДСТАВА ДЛЯ ПРОВЕДЕННЯ ДіР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Підстава для проведення ДіР: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Напрям фінансування: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Джерела фінансування: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Код програмної класифікації видатків і кредитування (КПКВК):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ind w:left="1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 тому числі по роках (тис. грн):</w:t>
            </w:r>
          </w:p>
        </w:tc>
      </w:tr>
      <w:tr>
        <w:trPr>
          <w:trHeight w:hRule="atLeast" w:val="339"/>
        </w:trPr>
        <w:tc>
          <w:tcPr>
            <w:tcW w:w="3671" w:type="dxa"/>
          </w:tcPr>
          <w:p>
            <w:pPr>
              <w:widowControl w:val="0"/>
              <w:jc w:val="center"/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  <w:t>Рік</w:t>
            </w:r>
          </w:p>
        </w:tc>
        <w:tc>
          <w:tcPr>
            <w:tcW w:w="5968" w:type="dxa"/>
            <w:gridSpan w:val="3"/>
          </w:tcPr>
          <w:p>
            <w:pPr>
              <w:widowControl w:val="0"/>
              <w:jc w:val="center"/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  <w:t>Обсяг фінансування</w:t>
            </w:r>
          </w:p>
        </w:tc>
      </w:tr>
      <w:tr>
        <w:trPr>
          <w:trHeight w:hRule="atLeast" w:val="337"/>
        </w:trPr>
        <w:tc>
          <w:tcPr>
            <w:tcW w:w="3671" w:type="dxa"/>
          </w:tcPr>
          <w:p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20__</w:t>
            </w:r>
          </w:p>
        </w:tc>
        <w:tc>
          <w:tcPr>
            <w:tcW w:w="5968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37"/>
        </w:trPr>
        <w:tc>
          <w:tcPr>
            <w:tcW w:w="3671" w:type="dxa"/>
          </w:tcPr>
          <w:p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20__</w:t>
            </w:r>
          </w:p>
        </w:tc>
        <w:tc>
          <w:tcPr>
            <w:tcW w:w="5968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37"/>
        </w:trPr>
        <w:tc>
          <w:tcPr>
            <w:tcW w:w="3671" w:type="dxa"/>
          </w:tcPr>
          <w:p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20__</w:t>
            </w:r>
          </w:p>
        </w:tc>
        <w:tc>
          <w:tcPr>
            <w:tcW w:w="5968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Загальний обсяг фінансування: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  <w:t>ВІДОМОСТІ ПРО ЗАМОВНИКА ДіР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Повне найменування юридичної особи (або Власне ім’я ПРІЗВИЩЕ):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Код за ЄДРПОУ (ідентифікаційний номер або серія та номер паспорта):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Ідентифікатор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ROR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ORCID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ID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Місцезнаходження (місце проживання):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Форма власності: 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Сфера управління: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  <w:shd w:val="clear" w:color="auto" w:fill="auto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Розмір організації: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Контакти: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  <w:t>ВІДОМОСТІ ПРО ВИКОНАВЦЯ ДіР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Повне найменування юридичної особи (або Власне ім’я ПРІЗВИЩЕ):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Код за ЄДРПОУ (ідентифікаційний номер або серія та номер паспорта):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Ідентифікатор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ROR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ORCID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ID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Місцезнаходження (місце проживання): 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Форма власності: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Сфера управління: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Сектор науки: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Розмір організації: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Контакти: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 w:val="1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eastAsia="uk-UA"/>
              </w:rPr>
              <w:t>ВІДОМОСТІ ПРО СПІВВИКОНАВЦЯ ДіР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Повне найменування юридичної особи (або Власне ім’я ПРІЗВИЩЕ):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Код за ЄДРПОУ (ідентифікаційний номер або серія та номер паспорта):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Ідентифікатор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ROR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ORCID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ID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Форма власності: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Сфера управління: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Сектор науки: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Розмір організації: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Місцезнаходження (місце проживання):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Контакти: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  <w:t>ВІДОМОСТІ ПРО ДіР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Назва (українською мовою):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Назва (англійською мовою):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Мета (українською мовою):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Мета (англійською мовою):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Пріоритетний напрям розвитку науки і техніки: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Стратегічний пріоритетний напрям інноваційної діяльності: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Вид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ДіР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: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Очікувані результати: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Галузь застосування: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  <w:t>ЕТАПИ ВИКОНАННЯ ДіР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Номер етапу: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Назва етапу: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Початок етапу: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Закінчення етапу: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Вид звітного документу: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  <w:t>ІНДЕКС УДК, ТЕМАТИЧНІ РУБРИКИ НТІ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Індекс УДК: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Коди тематичних рубрик: 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  <w:szCs w:val="24"/>
                <w:lang w:eastAsia="uk-UA"/>
              </w:rPr>
              <w:t>ЗАКЛЮЧНІ ВІДОМОСТІ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Керівник юридичної особи: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ind w:left="400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(Власне ім’я ПРІЗВИЩЕ)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Керівник ДіР: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ind w:left="400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(Власне ім’я ПРІЗВИЩЕ)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Науковий ступінь: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Вчене звання:</w:t>
            </w:r>
          </w:p>
        </w:tc>
      </w:tr>
      <w:tr>
        <w:tc>
          <w:tcPr>
            <w:tcW w:w="9639" w:type="dxa"/>
            <w:gridSpan w:val="4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Додаткова інформація:</w:t>
            </w:r>
          </w:p>
        </w:tc>
      </w:tr>
      <w:tr>
        <w:tc>
          <w:tcPr>
            <w:tcW w:w="9639" w:type="dxa"/>
            <w:gridSpan w:val="4"/>
          </w:tcPr>
          <w:p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Відповідальний за підготовку реєстраційних документів: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       (Власне ім’я ПРІЗВИЩЕ)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       Телефон: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Керівник відділу УкрІНТЕІ, що відповідає за реєстрацію наукової діяльності: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       (Власне ім’я ПРІЗВИЩЕ)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ind w:left="214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Реєстратор:</w:t>
            </w:r>
          </w:p>
        </w:tc>
      </w:tr>
      <w:tr>
        <w:tc>
          <w:tcPr>
            <w:tcW w:w="9639" w:type="dxa"/>
            <w:gridSpan w:val="4"/>
          </w:tcPr>
          <w:p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       (Власне ім’я ПРІЗВИЩЕ)</w:t>
            </w:r>
          </w:p>
        </w:tc>
      </w:tr>
    </w:tbl>
    <w:p>
      <w:pPr>
        <w:suppressAutoHyphens w:val="1"/>
        <w:spacing w:after="120" w:beforeAutospacing="0" w:afterAutospacing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sectPr>
      <w:headerReference xmlns:r="http://schemas.openxmlformats.org/officeDocument/2006/relationships" w:type="default" r:id="RelHdr1"/>
      <w:footnotePr/>
      <w:endnotePr/>
      <w:type w:val="nextPage"/>
      <w:pgSz w:w="11906" w:h="16838" w:code="0"/>
      <w:pgMar w:left="1417" w:right="850" w:top="850" w:bottom="567" w:header="708" w:footer="708" w:gutter="0"/>
      <w:titlePg w:val="1"/>
    </w:sectPr>
  </w:body>
</w:document>
</file>

<file path=word/endnotes.xml><?xml version="1.0" encoding="utf-8"?>
<w:endnotes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endnote w:type="separator" w:id="-1">
    <w:p>
      <w:pPr>
        <w:spacing w:lineRule="auto" w:line="240" w:after="0" w:beforeAutospacing="0" w:afterAutospacing="0"/>
      </w:pPr>
    </w:p>
  </w:endnote>
  <w:endnote w:type="continuationSeparator" w:id="0">
    <w:p>
      <w:pPr>
        <w:spacing w:lineRule="auto" w:line="240" w:after="0" w:beforeAutospacing="0" w:afterAutospacing="0"/>
      </w:pPr>
    </w:p>
  </w:endnote>
</w:endnotes>
</file>

<file path=word/footnotes.xml><?xml version="1.0" encoding="utf-8"?>
<w:footnotes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footnote w:type="separator" w:id="-1">
    <w:p>
      <w:pPr>
        <w:spacing w:lineRule="auto" w:line="240" w:after="0" w:beforeAutospacing="0" w:afterAutospacing="0"/>
      </w:pPr>
    </w:p>
  </w:footnote>
  <w:footnote w:type="continuationSeparator" w:id="0">
    <w:p>
      <w:pPr>
        <w:spacing w:lineRule="auto" w:line="240" w:after="0" w:beforeAutospacing="0" w:afterAutospacing="0"/>
      </w:pPr>
    </w:p>
  </w:footnote>
</w:footnotes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>
    <w:pPr>
      <w:pStyle w:val="P3"/>
      <w:jc w:val="center"/>
      <w:rPr>
        <w:rFonts w:ascii="Times New Roman" w:hAnsi="Times New Roman"/>
        <w:sz w:val="10"/>
        <w:szCs w:val="10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 w:val="1"/>
        <w:sz w:val="28"/>
        <w:szCs w:val="28"/>
      </w:rPr>
      <w:t>#</w:t>
    </w:r>
    <w:r>
      <w:rPr>
        <w:rFonts w:ascii="Times New Roman" w:hAnsi="Times New Roman"/>
        <w:sz w:val="28"/>
        <w:szCs w:val="28"/>
      </w:rPr>
      <w:fldChar w:fldCharType="end"/>
    </w:r>
  </w:p>
  <w:p>
    <w:pPr>
      <w:pStyle w:val="P3"/>
      <w:jc w:val="right"/>
      <w:rPr>
        <w:rFonts w:ascii="Times New Roman" w:hAnsi="Times New Roman"/>
        <w:smallCaps w:val="0"/>
        <w:sz w:val="28"/>
        <w:szCs w:val="22"/>
        <w:cs w:val="0"/>
        <w:spacing w:val="0"/>
        <w:w w:val="100"/>
        <w:position w:val="0"/>
        <w:snapToGrid w:val="1"/>
      </w:rPr>
    </w:pPr>
    <w:r>
      <w:rPr>
        <w:rFonts w:ascii="Times New Roman" w:hAnsi="Times New Roman"/>
        <w:smallCaps w:val="0"/>
        <w:sz w:val="28"/>
        <w:szCs w:val="22"/>
        <w:cs w:val="0"/>
        <w:spacing w:val="0"/>
        <w:w w:val="100"/>
        <w:position w:val="0"/>
        <w:snapToGrid w:val="1"/>
      </w:rPr>
      <w:t>Продовження додатка 1</w:t>
    </w:r>
  </w:p>
  <w:p>
    <w:pPr>
      <w:pStyle w:val="P3"/>
      <w:jc w:val="right"/>
      <w:rPr>
        <w:rFonts w:ascii="Times New Roman" w:hAnsi="Times New Roman"/>
        <w:sz w:val="28"/>
        <w:szCs w:val="10"/>
      </w:rPr>
    </w:pPr>
  </w:p>
</w:hdr>
</file>

<file path=word/numbering.xml><?xml version="1.0" encoding="utf-8"?>
<w:numbering xmlns:w="http://schemas.openxmlformats.org/wordprocessingml/2006/main">
  <w:abstractNum w:abstractNumId="0">
    <w:nsid w:val="647F3B8E"/>
    <w:multiLevelType w:val="multilevel"/>
    <w:lvl w:ilvl="0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  <w:b w:val="0"/>
        <w:sz w:val="24"/>
        <w:szCs w:val="24"/>
        <w:vertAlign w:val="baseline"/>
      </w:rPr>
    </w:lvl>
    <w:lvl w:ilvl="1">
      <w:start w:val="1"/>
      <w:numFmt w:val="bullet"/>
      <w:suff w:val="tab"/>
      <w:lvlText w:val="o"/>
      <w:lvlJc w:val="left"/>
      <w:pPr>
        <w:ind w:hanging="360" w:left="2160"/>
      </w:pPr>
      <w:rPr>
        <w:rFonts w:ascii="Courier New" w:hAnsi="Courier New"/>
        <w:vertAlign w:val="baseline"/>
      </w:rPr>
    </w:lvl>
    <w:lvl w:ilvl="2">
      <w:start w:val="1"/>
      <w:numFmt w:val="bullet"/>
      <w:suff w:val="tab"/>
      <w:lvlText w:val="▪"/>
      <w:lvlJc w:val="left"/>
      <w:pPr>
        <w:ind w:hanging="360" w:left="2880"/>
      </w:pPr>
      <w:rPr>
        <w:rFonts w:ascii="Noto Sans Symbols" w:hAnsi="Noto Sans Symbols"/>
        <w:vertAlign w:val="baseline"/>
      </w:rPr>
    </w:lvl>
    <w:lvl w:ilvl="3">
      <w:start w:val="1"/>
      <w:numFmt w:val="bullet"/>
      <w:suff w:val="tab"/>
      <w:lvlText w:val="●"/>
      <w:lvlJc w:val="left"/>
      <w:pPr>
        <w:ind w:hanging="360" w:left="3600"/>
      </w:pPr>
      <w:rPr>
        <w:rFonts w:ascii="Noto Sans Symbols" w:hAnsi="Noto Sans Symbols"/>
        <w:vertAlign w:val="baseline"/>
      </w:rPr>
    </w:lvl>
    <w:lvl w:ilvl="4">
      <w:start w:val="1"/>
      <w:numFmt w:val="bullet"/>
      <w:suff w:val="tab"/>
      <w:lvlText w:val="o"/>
      <w:lvlJc w:val="left"/>
      <w:pPr>
        <w:ind w:hanging="360" w:left="4320"/>
      </w:pPr>
      <w:rPr>
        <w:rFonts w:ascii="Courier New" w:hAnsi="Courier New"/>
        <w:vertAlign w:val="baseline"/>
      </w:rPr>
    </w:lvl>
    <w:lvl w:ilvl="5">
      <w:start w:val="1"/>
      <w:numFmt w:val="bullet"/>
      <w:suff w:val="tab"/>
      <w:lvlText w:val="▪"/>
      <w:lvlJc w:val="left"/>
      <w:pPr>
        <w:ind w:hanging="360" w:left="5040"/>
      </w:pPr>
      <w:rPr>
        <w:rFonts w:ascii="Noto Sans Symbols" w:hAnsi="Noto Sans Symbols"/>
        <w:vertAlign w:val="baseline"/>
      </w:rPr>
    </w:lvl>
    <w:lvl w:ilvl="6">
      <w:start w:val="1"/>
      <w:numFmt w:val="bullet"/>
      <w:suff w:val="tab"/>
      <w:lvlText w:val="●"/>
      <w:lvlJc w:val="left"/>
      <w:pPr>
        <w:ind w:hanging="360" w:left="5760"/>
      </w:pPr>
      <w:rPr>
        <w:rFonts w:ascii="Noto Sans Symbols" w:hAnsi="Noto Sans Symbols"/>
        <w:vertAlign w:val="baseline"/>
      </w:rPr>
    </w:lvl>
    <w:lvl w:ilvl="7">
      <w:start w:val="1"/>
      <w:numFmt w:val="bullet"/>
      <w:suff w:val="tab"/>
      <w:lvlText w:val="o"/>
      <w:lvlJc w:val="left"/>
      <w:pPr>
        <w:ind w:hanging="360" w:left="6480"/>
      </w:pPr>
      <w:rPr>
        <w:rFonts w:ascii="Courier New" w:hAnsi="Courier New"/>
        <w:vertAlign w:val="baseline"/>
      </w:rPr>
    </w:lvl>
    <w:lvl w:ilvl="8">
      <w:start w:val="1"/>
      <w:numFmt w:val="bullet"/>
      <w:suff w:val="tab"/>
      <w:lvlText w:val="▪"/>
      <w:lvlJc w:val="left"/>
      <w:pPr>
        <w:ind w:hanging="360" w:left="7200"/>
      </w:pPr>
      <w:rPr>
        <w:rFonts w:ascii="Noto Sans Symbols" w:hAnsi="Noto Sans Symbols"/>
        <w:vertAlign w:val="baseline"/>
      </w:rPr>
    </w:lvl>
  </w:abstractNum>
  <w:abstractNum w:abstractNumId="1">
    <w:nsid w:val="752555B9"/>
    <w:multiLevelType w:val="hybridMultilevel"/>
    <w:lvl w:ilvl="0" w:tplc="0422000F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04220019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 w:tplc="0422001B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 w:tplc="0422000F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04220019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 w:tplc="0422001B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 w:tplc="0422000F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04220019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 w:tplc="0422001B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09"/>
  <w:autoHyphenation w:val="0"/>
  <w:hyphenationZone w:val="425"/>
  <w:evenAndOddHeaders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footnotePr>
    <w:footnote w:id="-1"/>
    <w:footnote w:id="0"/>
  </w:footnotePr>
  <w:endnotePr>
    <w:endnote w:id="-1"/>
    <w:endnote w:id="0"/>
  </w:endnotePr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lang w:val="uk-UA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List Paragraph"/>
    <w:basedOn w:val="P0"/>
    <w:qFormat/>
    <w:pPr>
      <w:ind w:left="720"/>
      <w:contextualSpacing w:val="1"/>
    </w:pPr>
    <w:rPr/>
  </w:style>
  <w:style w:type="paragraph" w:styleId="P2">
    <w:name w:val="Balloon Text"/>
    <w:basedOn w:val="P0"/>
    <w:link w:val="C3"/>
    <w:semiHidden/>
    <w:pPr>
      <w:spacing w:lineRule="auto" w:line="240" w:after="0" w:beforeAutospacing="0" w:afterAutospacing="0"/>
    </w:pPr>
    <w:rPr>
      <w:rFonts w:ascii="Segoe UI" w:hAnsi="Segoe UI"/>
      <w:sz w:val="18"/>
      <w:szCs w:val="18"/>
    </w:rPr>
  </w:style>
  <w:style w:type="paragraph" w:styleId="P3">
    <w:name w:val="header"/>
    <w:basedOn w:val="P0"/>
    <w:link w:val="C4"/>
    <w:pPr>
      <w:tabs>
        <w:tab w:val="center" w:pos="4819" w:leader="none"/>
        <w:tab w:val="right" w:pos="9639" w:leader="none"/>
      </w:tabs>
      <w:spacing w:lineRule="auto" w:line="240" w:after="0" w:beforeAutospacing="0" w:afterAutospacing="0"/>
    </w:pPr>
    <w:rPr/>
  </w:style>
  <w:style w:type="paragraph" w:styleId="P4">
    <w:name w:val="footer"/>
    <w:basedOn w:val="P0"/>
    <w:link w:val="C5"/>
    <w:pPr>
      <w:tabs>
        <w:tab w:val="center" w:pos="4819" w:leader="none"/>
        <w:tab w:val="right" w:pos="9639" w:leader="none"/>
      </w:tabs>
      <w:spacing w:lineRule="auto" w:line="240" w:after="0" w:beforeAutospacing="0" w:afterAutospacing="0"/>
    </w:pPr>
    <w:rPr/>
  </w:style>
  <w:style w:type="paragraph" w:styleId="P5">
    <w:name w:val="annotation text"/>
    <w:basedOn w:val="P0"/>
    <w:link w:val="C7"/>
    <w:semiHidden/>
    <w:pPr>
      <w:spacing w:lineRule="auto" w:line="240" w:beforeAutospacing="0" w:afterAutospacing="0"/>
    </w:pPr>
    <w:rPr>
      <w:sz w:val="20"/>
      <w:szCs w:val="20"/>
    </w:rPr>
  </w:style>
  <w:style w:type="paragraph" w:styleId="P6">
    <w:name w:val="annotation subject"/>
    <w:basedOn w:val="P5"/>
    <w:next w:val="P5"/>
    <w:link w:val="C8"/>
    <w:semiHidden/>
    <w:pPr/>
    <w:rPr>
      <w:b w:val="1"/>
      <w:bCs w:val="1"/>
    </w:rPr>
  </w:style>
  <w:style w:type="paragraph" w:styleId="P7">
    <w:name w:val="footnote text"/>
    <w:link w:val="C10"/>
    <w:semiHidden/>
    <w:pPr>
      <w:spacing w:lineRule="auto" w:line="240" w:after="0" w:beforeAutospacing="0" w:afterAutospacing="0"/>
    </w:pPr>
    <w:rPr>
      <w:sz w:val="20"/>
      <w:szCs w:val="20"/>
    </w:rPr>
  </w:style>
  <w:style w:type="paragraph" w:styleId="P8">
    <w:name w:val="endnote text"/>
    <w:link w:val="C12"/>
    <w:semiHidden/>
    <w:pPr>
      <w:spacing w:lineRule="auto" w:line="240" w:after="0" w:beforeAutospacing="0" w:afterAutospacing="0"/>
    </w:pPr>
    <w:rPr>
      <w:sz w:val="20"/>
      <w:szCs w:val="20"/>
    </w:rPr>
  </w:style>
  <w:style w:type="character" w:styleId="C0" w:default="1">
    <w:name w:val="Default Paragraph Font"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Текст у виносці Знак"/>
    <w:basedOn w:val="C0"/>
    <w:link w:val="P2"/>
    <w:semiHidden/>
    <w:rPr>
      <w:rFonts w:ascii="Segoe UI" w:hAnsi="Segoe UI"/>
      <w:sz w:val="18"/>
      <w:szCs w:val="18"/>
    </w:rPr>
  </w:style>
  <w:style w:type="character" w:styleId="C4">
    <w:name w:val="Верхній колонтитул Знак"/>
    <w:basedOn w:val="C0"/>
    <w:link w:val="P3"/>
    <w:rPr/>
  </w:style>
  <w:style w:type="character" w:styleId="C5">
    <w:name w:val="Нижній колонтитул Знак"/>
    <w:basedOn w:val="C0"/>
    <w:link w:val="P4"/>
    <w:rPr/>
  </w:style>
  <w:style w:type="character" w:styleId="C6">
    <w:name w:val="annotation reference"/>
    <w:basedOn w:val="C0"/>
    <w:semiHidden/>
    <w:rPr>
      <w:sz w:val="16"/>
      <w:szCs w:val="16"/>
    </w:rPr>
  </w:style>
  <w:style w:type="character" w:styleId="C7">
    <w:name w:val="Текст примітки Знак"/>
    <w:basedOn w:val="C0"/>
    <w:link w:val="P5"/>
    <w:semiHidden/>
    <w:rPr>
      <w:sz w:val="20"/>
      <w:szCs w:val="20"/>
    </w:rPr>
  </w:style>
  <w:style w:type="character" w:styleId="C8">
    <w:name w:val="Тема примітки Знак"/>
    <w:basedOn w:val="C7"/>
    <w:link w:val="P6"/>
    <w:semiHidden/>
    <w:rPr>
      <w:b w:val="1"/>
      <w:bCs w:val="1"/>
      <w:sz w:val="20"/>
      <w:szCs w:val="20"/>
    </w:rPr>
  </w:style>
  <w:style w:type="character" w:styleId="C9">
    <w:name w:val="footnote reference"/>
    <w:semiHidden/>
    <w:rPr>
      <w:vertAlign w:val="superscript"/>
    </w:rPr>
  </w:style>
  <w:style w:type="character" w:styleId="C10">
    <w:name w:val="Footnote Text Char"/>
    <w:link w:val="P7"/>
    <w:semiHidden/>
    <w:rPr>
      <w:sz w:val="20"/>
      <w:szCs w:val="20"/>
    </w:rPr>
  </w:style>
  <w:style w:type="character" w:styleId="C11">
    <w:name w:val="endnote reference"/>
    <w:semiHidden/>
    <w:rPr>
      <w:vertAlign w:val="superscript"/>
    </w:rPr>
  </w:style>
  <w:style w:type="character" w:styleId="C12">
    <w:name w:val="Endnote Text Char"/>
    <w:link w:val="P8"/>
    <w:semiHidden/>
    <w:rPr>
      <w:sz w:val="20"/>
      <w:szCs w:val="20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Grid"/>
    <w:basedOn w:val="T0"/>
    <w:pPr>
      <w:spacing w:lineRule="auto" w:line="240" w:after="0" w:beforeAutospacing="0" w:afterAutospacing="0"/>
    </w:pPr>
    <w:tblPr>
      <w:tblBorders>
        <w:top w:val="single" w:sz="4" w:space="0" w:shadow="0" w:frame="0" w:color="auto"/>
        <w:left w:val="single" w:sz="4" w:space="0" w:shadow="0" w:frame="0" w:color="auto"/>
        <w:bottom w:val="single" w:sz="4" w:space="0" w:shadow="0" w:frame="0" w:color="auto"/>
        <w:right w:val="single" w:sz="4" w:space="0" w:shadow="0" w:frame="0" w:color="auto"/>
        <w:insideH w:val="single" w:sz="4" w:space="0" w:shadow="0" w:frame="0" w:color="auto"/>
        <w:insideV w:val="single" w:sz="4" w:space="0" w:shadow="0" w:frame="0" w:color="auto"/>
      </w:tblBorders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Hdr1" Type="http://schemas.openxmlformats.org/officeDocument/2006/relationships/header" Target="header1.xml" /><Relationship Id="RelFnt1" Type="http://schemas.openxmlformats.org/officeDocument/2006/relationships/footnotes" Target="footnotes.xml" /><Relationship Id="RelEnt1" Type="http://schemas.openxmlformats.org/officeDocument/2006/relationships/endnotes" Target="endnotes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Relationship Id="RelItem1" Type="http://schemas.openxmlformats.org/officeDocument/2006/relationships/customXml" Target="../customXml/item1.xml" /></Relationships>
</file>

<file path=word/_rels/endnotes.xml.rels>&#65279;<?xml version="1.0" encoding="utf-8"?><Relationships xmlns="http://schemas.openxmlformats.org/package/2006/relationships" />
</file>

<file path=word/_rels/footnotes.xml.rels>&#65279;<?xml version="1.0" encoding="utf-8"?><Relationships xmlns="http://schemas.openxmlformats.org/package/2006/relationships" /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a1fb5-3ef7-464e-9f29-181c6692aa09}">
  <ds:schemaRefs>
    <ds:schemaRef ds:uri="http://schemas.microsoft.com/vsto/samples"/>
  </ds:schemaRefs>
</ds:datastoreItem>
</file>

<file path=docProps/app.xml><?xml version="1.0" encoding="utf-8"?>
<Properties xmlns="http://schemas.openxmlformats.org/officeDocument/2006/extended-properties">
  <Application>DevExpress Office File API/21.1.3.0</Application>
  <AppVersion>21.1</AppVersion>
  <Company>SPecialiST RePack</Company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Prudka O.V.</dc:creator>
  <dcterms:created xsi:type="dcterms:W3CDTF">2021-10-23T06:18:00Z</dcterms:created>
  <cp:lastModifiedBy>erp_adm</cp:lastModifiedBy>
  <cp:lastPrinted>2021-10-23T10:57:00Z</cp:lastPrinted>
  <dcterms:modified xsi:type="dcterms:W3CDTF">2021-11-16T07:25:05Z</dcterms:modified>
  <cp:revision>14</cp:revision>
</cp:coreProperties>
</file>